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796" w:rsidRDefault="00976796" w:rsidP="00976796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976796" w:rsidRDefault="00976796" w:rsidP="00976796">
      <w:pPr>
        <w:pStyle w:val="Subttulo"/>
        <w:rPr>
          <w:rFonts w:ascii="Bauhaus 93" w:hAnsi="Bauhaus 93"/>
          <w:i w:val="0"/>
          <w:sz w:val="28"/>
          <w:szCs w:val="28"/>
        </w:rPr>
      </w:pPr>
    </w:p>
    <w:p w:rsidR="00976796" w:rsidRDefault="00976796" w:rsidP="00976796">
      <w:pPr>
        <w:pStyle w:val="Subttulo"/>
        <w:rPr>
          <w:rFonts w:ascii="Bauhaus 93" w:hAnsi="Bauhaus 93"/>
          <w:i w:val="0"/>
          <w:sz w:val="28"/>
          <w:szCs w:val="28"/>
        </w:rPr>
      </w:pPr>
      <w:r w:rsidRPr="00976796">
        <w:rPr>
          <w:rFonts w:ascii="Bauhaus 93" w:hAnsi="Bauhaus 93"/>
          <w:i w:val="0"/>
          <w:sz w:val="28"/>
          <w:szCs w:val="28"/>
        </w:rPr>
        <w:t xml:space="preserve">LA ADMINISTRACION </w:t>
      </w:r>
      <w:proofErr w:type="gramStart"/>
      <w:r w:rsidRPr="00976796">
        <w:rPr>
          <w:rFonts w:ascii="Bauhaus 93" w:hAnsi="Bauhaus 93"/>
          <w:i w:val="0"/>
          <w:sz w:val="28"/>
          <w:szCs w:val="28"/>
        </w:rPr>
        <w:t>PUBLICA</w:t>
      </w:r>
      <w:proofErr w:type="gramEnd"/>
      <w:r w:rsidRPr="00976796">
        <w:rPr>
          <w:rFonts w:ascii="Bauhaus 93" w:hAnsi="Bauhaus 93"/>
          <w:i w:val="0"/>
          <w:sz w:val="28"/>
          <w:szCs w:val="28"/>
        </w:rPr>
        <w:t xml:space="preserve"> Y EL DERECHO ADMINISTRATIVO.</w:t>
      </w:r>
    </w:p>
    <w:p w:rsidR="00976796" w:rsidRPr="00E611F0" w:rsidRDefault="00976796" w:rsidP="00976796"/>
    <w:p w:rsidR="00976796" w:rsidRDefault="00976796" w:rsidP="00976796">
      <w:pPr>
        <w:pStyle w:val="Prrafodelista"/>
        <w:numPr>
          <w:ilvl w:val="0"/>
          <w:numId w:val="1"/>
        </w:numPr>
      </w:pPr>
      <w:r>
        <w:t xml:space="preserve">Curso </w:t>
      </w:r>
      <w:r w:rsidRPr="00680ED1">
        <w:t>Presencial</w:t>
      </w:r>
    </w:p>
    <w:p w:rsidR="00976796" w:rsidRPr="00B309B2" w:rsidRDefault="00976796" w:rsidP="00976796">
      <w:pPr>
        <w:pStyle w:val="Prrafodelista"/>
        <w:numPr>
          <w:ilvl w:val="0"/>
          <w:numId w:val="1"/>
        </w:numPr>
        <w:snapToGrid w:val="0"/>
        <w:rPr>
          <w:rFonts w:ascii="Times New Roman" w:hAnsi="Times New Roman" w:cs="Times New Roman"/>
          <w:b/>
          <w:sz w:val="18"/>
          <w:szCs w:val="18"/>
        </w:rPr>
      </w:pPr>
      <w:r w:rsidRPr="00680ED1">
        <w:t>Perfil personas destinatarias</w:t>
      </w:r>
      <w:proofErr w:type="gramStart"/>
      <w:r>
        <w:t xml:space="preserve">:  </w:t>
      </w:r>
      <w:r w:rsidRPr="00976796">
        <w:t>Funcionarios</w:t>
      </w:r>
      <w:proofErr w:type="gramEnd"/>
      <w:r w:rsidRPr="00976796">
        <w:t xml:space="preserve"> y otro personal de administración local, con funciones de tramitación de procedimientos administrativos, así como control y fiscalización de los actos y procedimientos administrativos.</w:t>
      </w:r>
    </w:p>
    <w:p w:rsidR="00976796" w:rsidRDefault="00976796" w:rsidP="00976796">
      <w:pPr>
        <w:pStyle w:val="Prrafodelista"/>
        <w:numPr>
          <w:ilvl w:val="0"/>
          <w:numId w:val="1"/>
        </w:numPr>
      </w:pPr>
      <w:r>
        <w:t>Duración:  20 Horas</w:t>
      </w:r>
    </w:p>
    <w:p w:rsidR="00976796" w:rsidRDefault="002D656B" w:rsidP="00976796">
      <w:pPr>
        <w:pStyle w:val="Prrafodelista"/>
        <w:numPr>
          <w:ilvl w:val="0"/>
          <w:numId w:val="1"/>
        </w:numPr>
      </w:pPr>
      <w:r>
        <w:t>Fecha: 15</w:t>
      </w:r>
      <w:proofErr w:type="gramStart"/>
      <w:r>
        <w:t>,17,18,22</w:t>
      </w:r>
      <w:proofErr w:type="gramEnd"/>
      <w:r>
        <w:t xml:space="preserve"> y 24 Noviembre.</w:t>
      </w:r>
    </w:p>
    <w:p w:rsidR="00976796" w:rsidRDefault="00976796" w:rsidP="00976796">
      <w:pPr>
        <w:pStyle w:val="Prrafodelista"/>
        <w:numPr>
          <w:ilvl w:val="0"/>
          <w:numId w:val="1"/>
        </w:numPr>
      </w:pPr>
      <w:r>
        <w:t>Horario:</w:t>
      </w:r>
      <w:r w:rsidRPr="002A0A28">
        <w:t xml:space="preserve"> </w:t>
      </w:r>
      <w:r w:rsidR="002D656B">
        <w:t>De 9 a 13 Horas.</w:t>
      </w:r>
    </w:p>
    <w:p w:rsidR="00976796" w:rsidRDefault="00976796" w:rsidP="00976796">
      <w:pPr>
        <w:pStyle w:val="Prrafodelista"/>
        <w:numPr>
          <w:ilvl w:val="0"/>
          <w:numId w:val="1"/>
        </w:numPr>
      </w:pPr>
      <w:r>
        <w:t>Lugar de celebración: Por determinar</w:t>
      </w:r>
    </w:p>
    <w:p w:rsidR="00976796" w:rsidRDefault="00976796" w:rsidP="00976796">
      <w:pPr>
        <w:pStyle w:val="Prrafodelista"/>
        <w:numPr>
          <w:ilvl w:val="0"/>
          <w:numId w:val="1"/>
        </w:numPr>
      </w:pPr>
      <w:r>
        <w:t>Número de plazas previstas: Por determinar</w:t>
      </w:r>
    </w:p>
    <w:p w:rsidR="00976796" w:rsidRPr="00E611F0" w:rsidRDefault="00976796" w:rsidP="00976796">
      <w:r w:rsidRPr="00680ED1">
        <w:t xml:space="preserve"> </w:t>
      </w:r>
    </w:p>
    <w:p w:rsidR="00976796" w:rsidRDefault="00976796" w:rsidP="00976796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>Objetivos:</w:t>
      </w:r>
    </w:p>
    <w:p w:rsidR="00976796" w:rsidRPr="00026762" w:rsidRDefault="00976796" w:rsidP="00976796">
      <w:pPr>
        <w:pStyle w:val="Prrafodelista"/>
        <w:rPr>
          <w:b/>
          <w:color w:val="1F497D" w:themeColor="text2"/>
        </w:rPr>
      </w:pPr>
    </w:p>
    <w:p w:rsidR="00976796" w:rsidRDefault="00976796" w:rsidP="00976796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 xml:space="preserve">Proporcionar un conocimiento acerca de las novedades en materia de régimen jurídico de las Administraciones Públicas, introducidas por la ley 40/ 2015 </w:t>
      </w:r>
    </w:p>
    <w:p w:rsidR="00976796" w:rsidRDefault="00976796" w:rsidP="00976796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>Profundizar en la normativa de organización y funcionamiento de las administraciones públicas, con especial mención a las novedades introducidas por las leyes 39/2015 y 40/ 2015, así como las especialidades en la administración local</w:t>
      </w:r>
    </w:p>
    <w:p w:rsidR="00976796" w:rsidRDefault="00976796" w:rsidP="00976796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>Profundizar en el conocimiento e implantación de la normativa relativa a mecanismos como la administración electrónica, la transparencia y sus implicaciones y relaciones con el procedimiento administrativo.</w:t>
      </w:r>
    </w:p>
    <w:p w:rsidR="00976796" w:rsidRDefault="00976796" w:rsidP="00976796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>Conocer  los principales mecanismos de colaboración y cooperación de las administraciones públicas, especialmente los Convenios.</w:t>
      </w:r>
    </w:p>
    <w:p w:rsidR="00976796" w:rsidRDefault="00976796" w:rsidP="00976796">
      <w:pPr>
        <w:pStyle w:val="Prrafodelista"/>
        <w:numPr>
          <w:ilvl w:val="0"/>
          <w:numId w:val="3"/>
        </w:numPr>
        <w:suppressAutoHyphens/>
        <w:spacing w:after="0" w:line="360" w:lineRule="auto"/>
        <w:ind w:left="1134" w:firstLine="54"/>
        <w:jc w:val="both"/>
      </w:pPr>
      <w:r>
        <w:t>Conocer los principales requisitos y características de la responsabilidad patrimonial y la potestad sancionadora.</w:t>
      </w:r>
    </w:p>
    <w:p w:rsidR="00976796" w:rsidRDefault="00976796" w:rsidP="00976796">
      <w:pPr>
        <w:pStyle w:val="Prrafodelista"/>
        <w:suppressAutoHyphens/>
        <w:spacing w:after="0" w:line="360" w:lineRule="auto"/>
        <w:ind w:left="1188"/>
        <w:jc w:val="both"/>
      </w:pPr>
    </w:p>
    <w:p w:rsidR="00976796" w:rsidRDefault="00976796" w:rsidP="00976796">
      <w:pPr>
        <w:pStyle w:val="Prrafodelista"/>
        <w:suppressAutoHyphens/>
        <w:spacing w:after="0" w:line="360" w:lineRule="auto"/>
        <w:ind w:left="1188"/>
        <w:jc w:val="both"/>
      </w:pPr>
    </w:p>
    <w:p w:rsidR="00976796" w:rsidRDefault="00976796" w:rsidP="00976796">
      <w:pPr>
        <w:pStyle w:val="Prrafodelista"/>
        <w:suppressAutoHyphens/>
        <w:spacing w:after="0" w:line="360" w:lineRule="auto"/>
        <w:ind w:left="1188"/>
        <w:jc w:val="both"/>
      </w:pPr>
    </w:p>
    <w:p w:rsidR="00976796" w:rsidRDefault="00976796" w:rsidP="00976796">
      <w:pPr>
        <w:pStyle w:val="Prrafodelista"/>
        <w:suppressAutoHyphens/>
        <w:spacing w:after="0" w:line="360" w:lineRule="auto"/>
        <w:ind w:left="1188"/>
        <w:jc w:val="both"/>
      </w:pPr>
    </w:p>
    <w:p w:rsidR="00976796" w:rsidRDefault="00976796" w:rsidP="00976796">
      <w:pPr>
        <w:pStyle w:val="Prrafodelista"/>
        <w:suppressAutoHyphens/>
        <w:spacing w:after="0" w:line="360" w:lineRule="auto"/>
        <w:ind w:left="1134"/>
        <w:jc w:val="both"/>
      </w:pPr>
    </w:p>
    <w:p w:rsidR="00976796" w:rsidRPr="00EE1B95" w:rsidRDefault="00976796" w:rsidP="00976796">
      <w:pPr>
        <w:pStyle w:val="Prrafodelista"/>
        <w:numPr>
          <w:ilvl w:val="0"/>
          <w:numId w:val="1"/>
        </w:numPr>
        <w:rPr>
          <w:b/>
          <w:color w:val="1F497D" w:themeColor="text2"/>
        </w:rPr>
      </w:pPr>
      <w:r w:rsidRPr="00EE1B95">
        <w:rPr>
          <w:b/>
          <w:color w:val="1F497D" w:themeColor="text2"/>
        </w:rPr>
        <w:t xml:space="preserve">Contenidos: </w:t>
      </w:r>
    </w:p>
    <w:p w:rsidR="00976796" w:rsidRDefault="00976796" w:rsidP="00976796">
      <w:pPr>
        <w:pStyle w:val="Prrafodelista"/>
        <w:numPr>
          <w:ilvl w:val="0"/>
          <w:numId w:val="2"/>
        </w:numPr>
      </w:pPr>
      <w:r>
        <w:t>Concepto y clases de Administraciones Públicas. Potestades administrativas.</w:t>
      </w:r>
    </w:p>
    <w:p w:rsidR="00976796" w:rsidRDefault="00976796" w:rsidP="00976796">
      <w:pPr>
        <w:pStyle w:val="Prrafodelista"/>
        <w:numPr>
          <w:ilvl w:val="0"/>
          <w:numId w:val="2"/>
        </w:numPr>
      </w:pPr>
      <w:r>
        <w:t xml:space="preserve">Concepto de derecho administrativo. Sometimiento de la Administración Pública al derecho administrativo y otros órdenes. Actos separables. </w:t>
      </w:r>
      <w:proofErr w:type="spellStart"/>
      <w:r>
        <w:t>Ordenes</w:t>
      </w:r>
      <w:proofErr w:type="spellEnd"/>
      <w:r>
        <w:t xml:space="preserve"> jurisdiccionales.</w:t>
      </w:r>
    </w:p>
    <w:p w:rsidR="00976796" w:rsidRDefault="00976796" w:rsidP="00976796">
      <w:pPr>
        <w:pStyle w:val="Prrafodelista"/>
        <w:numPr>
          <w:ilvl w:val="0"/>
          <w:numId w:val="2"/>
        </w:numPr>
      </w:pPr>
      <w:proofErr w:type="spellStart"/>
      <w:r>
        <w:t>Organos</w:t>
      </w:r>
      <w:proofErr w:type="spellEnd"/>
      <w:r>
        <w:t xml:space="preserve"> de las Administraciones Públicas. Competencia. Régimen de funcionamiento de los órganos colegiados.</w:t>
      </w:r>
    </w:p>
    <w:p w:rsidR="00976796" w:rsidRDefault="00976796" w:rsidP="00976796">
      <w:pPr>
        <w:pStyle w:val="Prrafodelista"/>
        <w:numPr>
          <w:ilvl w:val="0"/>
          <w:numId w:val="2"/>
        </w:numPr>
      </w:pPr>
      <w:r>
        <w:t xml:space="preserve">La administración local. Clases de entidades locales. Competencias. </w:t>
      </w:r>
      <w:proofErr w:type="spellStart"/>
      <w:r>
        <w:t>Organos</w:t>
      </w:r>
      <w:proofErr w:type="spellEnd"/>
      <w:r>
        <w:t xml:space="preserve"> de las mismas. Regímenes especiales.</w:t>
      </w:r>
    </w:p>
    <w:p w:rsidR="00976796" w:rsidRDefault="00976796" w:rsidP="00976796">
      <w:pPr>
        <w:pStyle w:val="Prrafodelista"/>
        <w:numPr>
          <w:ilvl w:val="0"/>
          <w:numId w:val="2"/>
        </w:numPr>
      </w:pPr>
      <w:r>
        <w:t>Mecanismos de cooperación y colaboración de las Administraciones Públicas. Los convenios administrativos; requisitos, procedimiento y contenido, diferencia con figuras similares.</w:t>
      </w:r>
    </w:p>
    <w:p w:rsidR="00976796" w:rsidRDefault="00976796" w:rsidP="00976796">
      <w:pPr>
        <w:pStyle w:val="Prrafodelista"/>
        <w:numPr>
          <w:ilvl w:val="0"/>
          <w:numId w:val="2"/>
        </w:numPr>
      </w:pPr>
      <w:r>
        <w:t>Participación ciudadana en la administración local. Regulación legal y mecanismos de la misma.</w:t>
      </w:r>
    </w:p>
    <w:p w:rsidR="00976796" w:rsidRDefault="00976796" w:rsidP="00976796">
      <w:pPr>
        <w:pStyle w:val="Prrafodelista"/>
        <w:numPr>
          <w:ilvl w:val="0"/>
          <w:numId w:val="2"/>
        </w:numPr>
      </w:pPr>
      <w:r>
        <w:t>La responsabilidad patrimonial. Supuestos requisitos y procedimiento.</w:t>
      </w:r>
    </w:p>
    <w:p w:rsidR="00976796" w:rsidRDefault="00976796" w:rsidP="00976796">
      <w:pPr>
        <w:pStyle w:val="Prrafodelista"/>
        <w:numPr>
          <w:ilvl w:val="0"/>
          <w:numId w:val="2"/>
        </w:numPr>
      </w:pPr>
      <w:r>
        <w:t>La potestad sancionadora y el procedimiento sancionador.</w:t>
      </w:r>
    </w:p>
    <w:p w:rsidR="000337BC" w:rsidRDefault="00976796" w:rsidP="00976796">
      <w:pPr>
        <w:pStyle w:val="Prrafodelista"/>
        <w:numPr>
          <w:ilvl w:val="0"/>
          <w:numId w:val="2"/>
        </w:numPr>
      </w:pPr>
      <w:r>
        <w:t>Transparencia en la gestión pública, normativa estatal, autonómica y regulación por las Entidades locales.</w:t>
      </w:r>
    </w:p>
    <w:sectPr w:rsidR="000337BC" w:rsidSect="000337B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9D0" w:rsidRDefault="007069D0" w:rsidP="007069D0">
      <w:pPr>
        <w:spacing w:after="0" w:line="240" w:lineRule="auto"/>
      </w:pPr>
      <w:r>
        <w:separator/>
      </w:r>
    </w:p>
  </w:endnote>
  <w:endnote w:type="continuationSeparator" w:id="1">
    <w:p w:rsidR="007069D0" w:rsidRDefault="007069D0" w:rsidP="00706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9D0" w:rsidRDefault="007069D0" w:rsidP="007069D0">
      <w:pPr>
        <w:spacing w:after="0" w:line="240" w:lineRule="auto"/>
      </w:pPr>
      <w:r>
        <w:separator/>
      </w:r>
    </w:p>
  </w:footnote>
  <w:footnote w:type="continuationSeparator" w:id="1">
    <w:p w:rsidR="007069D0" w:rsidRDefault="007069D0" w:rsidP="00706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04E1" w:rsidRDefault="00976796" w:rsidP="00D504E1">
    <w:pPr>
      <w:pStyle w:val="Encabezado"/>
      <w:jc w:val="center"/>
    </w:pPr>
    <w:r w:rsidRPr="00D504E1">
      <w:rPr>
        <w:noProof/>
        <w:lang w:eastAsia="es-ES"/>
      </w:rPr>
      <w:drawing>
        <wp:inline distT="0" distB="0" distL="0" distR="0">
          <wp:extent cx="4229100" cy="695325"/>
          <wp:effectExtent l="19050" t="0" r="0" b="0"/>
          <wp:docPr id="6" name="Imagen 1" descr="X:\Servicio de formacion\Plantillas logos  caratulas y escaneos\LOGOS\LOGO DIPUTACION\2015_diputacion_de_cadiz-funcion_publica-form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Servicio de formacion\Plantillas logos  caratulas y escaneos\LOGOS\LOGO DIPUTACION\2015_diputacion_de_cadiz-funcion_publica-formac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11.25pt" o:bullet="t">
        <v:imagedata r:id="rId1" o:title="mso292"/>
      </v:shape>
    </w:pict>
  </w:numPicBullet>
  <w:abstractNum w:abstractNumId="0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348639C1"/>
    <w:multiLevelType w:val="hybridMultilevel"/>
    <w:tmpl w:val="CD74532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0D3798"/>
    <w:multiLevelType w:val="hybridMultilevel"/>
    <w:tmpl w:val="7F0080F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796"/>
    <w:rsid w:val="000337BC"/>
    <w:rsid w:val="002D656B"/>
    <w:rsid w:val="007069D0"/>
    <w:rsid w:val="00976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7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6796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9767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767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976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76796"/>
  </w:style>
  <w:style w:type="paragraph" w:styleId="Textodeglobo">
    <w:name w:val="Balloon Text"/>
    <w:basedOn w:val="Normal"/>
    <w:link w:val="TextodegloboCar"/>
    <w:uiPriority w:val="99"/>
    <w:semiHidden/>
    <w:unhideWhenUsed/>
    <w:rsid w:val="0097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6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LRiegoC</dc:creator>
  <cp:keywords/>
  <dc:description/>
  <cp:lastModifiedBy>LRiegoC</cp:lastModifiedBy>
  <cp:revision>2</cp:revision>
  <dcterms:created xsi:type="dcterms:W3CDTF">2016-10-11T07:05:00Z</dcterms:created>
  <dcterms:modified xsi:type="dcterms:W3CDTF">2016-10-14T06:25:00Z</dcterms:modified>
</cp:coreProperties>
</file>